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F3BA1" w:rsidRDefault="001F3BA1" w:rsidP="4A87CC83">
      <w:pPr>
        <w:rPr>
          <w:b/>
          <w:bCs/>
        </w:rPr>
      </w:pPr>
      <w:r>
        <w:rPr>
          <w:b/>
          <w:bCs/>
          <w:noProof/>
          <w:lang w:eastAsia="en-US"/>
        </w:rPr>
        <w:drawing>
          <wp:inline distT="0" distB="0" distL="0" distR="0">
            <wp:extent cx="5943600" cy="2057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limate Change Map Banner.png"/>
                    <pic:cNvPicPr/>
                  </pic:nvPicPr>
                  <pic:blipFill>
                    <a:blip r:embed="rId10">
                      <a:extLst>
                        <a:ext uri="{28A0092B-C50C-407E-A947-70E740481C1C}">
                          <a14:useLocalDpi xmlns:a14="http://schemas.microsoft.com/office/drawing/2010/main" val="0"/>
                        </a:ext>
                      </a:extLst>
                    </a:blip>
                    <a:stretch>
                      <a:fillRect/>
                    </a:stretch>
                  </pic:blipFill>
                  <pic:spPr>
                    <a:xfrm>
                      <a:off x="0" y="0"/>
                      <a:ext cx="5943600" cy="2057400"/>
                    </a:xfrm>
                    <a:prstGeom prst="rect">
                      <a:avLst/>
                    </a:prstGeom>
                  </pic:spPr>
                </pic:pic>
              </a:graphicData>
            </a:graphic>
          </wp:inline>
        </w:drawing>
      </w:r>
    </w:p>
    <w:p w:rsidR="001F3BA1" w:rsidRDefault="001F3BA1" w:rsidP="4A87CC83">
      <w:pPr>
        <w:rPr>
          <w:b/>
          <w:bCs/>
        </w:rPr>
      </w:pPr>
    </w:p>
    <w:p w:rsidR="004974DB" w:rsidRDefault="4115CFAA" w:rsidP="4A87CC83">
      <w:pPr>
        <w:rPr>
          <w:b/>
          <w:bCs/>
        </w:rPr>
      </w:pPr>
      <w:r w:rsidRPr="72F27F03">
        <w:rPr>
          <w:b/>
          <w:bCs/>
        </w:rPr>
        <w:t xml:space="preserve">Interactive Map: </w:t>
      </w:r>
      <w:r w:rsidR="2DBEFC3E" w:rsidRPr="72F27F03">
        <w:rPr>
          <w:b/>
          <w:bCs/>
        </w:rPr>
        <w:t xml:space="preserve">Exploring </w:t>
      </w:r>
      <w:r w:rsidRPr="72F27F03">
        <w:rPr>
          <w:b/>
          <w:bCs/>
        </w:rPr>
        <w:t>Climate Change and Environmental Justice in Iowa</w:t>
      </w:r>
    </w:p>
    <w:p w:rsidR="0670AEBA" w:rsidRDefault="0670AEBA" w:rsidP="72F27F03">
      <w:pPr>
        <w:rPr>
          <w:b/>
          <w:bCs/>
        </w:rPr>
      </w:pPr>
      <w:r w:rsidRPr="72F27F03">
        <w:rPr>
          <w:b/>
          <w:bCs/>
        </w:rPr>
        <w:t xml:space="preserve">User </w:t>
      </w:r>
      <w:r w:rsidR="363F1ACC" w:rsidRPr="72F27F03">
        <w:rPr>
          <w:b/>
          <w:bCs/>
        </w:rPr>
        <w:t>Guide and Tips to Ensure Functionality</w:t>
      </w:r>
    </w:p>
    <w:p w:rsidR="363F1ACC" w:rsidRDefault="363F1ACC" w:rsidP="72F27F03">
      <w:pPr>
        <w:rPr>
          <w:b/>
          <w:bCs/>
        </w:rPr>
      </w:pPr>
      <w:r w:rsidRPr="72F27F03">
        <w:rPr>
          <w:b/>
          <w:bCs/>
        </w:rPr>
        <w:t xml:space="preserve">Faster </w:t>
      </w:r>
      <w:r w:rsidR="17D06A8B" w:rsidRPr="72F27F03">
        <w:rPr>
          <w:b/>
          <w:bCs/>
        </w:rPr>
        <w:t>Loading S</w:t>
      </w:r>
      <w:r w:rsidRPr="72F27F03">
        <w:rPr>
          <w:b/>
          <w:bCs/>
        </w:rPr>
        <w:t>peed</w:t>
      </w:r>
    </w:p>
    <w:p w:rsidR="498CA603" w:rsidRDefault="498CA603" w:rsidP="72F27F03">
      <w:pPr>
        <w:pStyle w:val="ListParagraph"/>
        <w:numPr>
          <w:ilvl w:val="0"/>
          <w:numId w:val="1"/>
        </w:numPr>
      </w:pPr>
      <w:r>
        <w:t xml:space="preserve">User tip: </w:t>
      </w:r>
      <w:r w:rsidR="0670AEBA">
        <w:t xml:space="preserve">When the map first </w:t>
      </w:r>
      <w:r w:rsidR="7BCC4D32">
        <w:t>opens</w:t>
      </w:r>
      <w:r w:rsidR="0670AEBA">
        <w:t xml:space="preserve">, give it a second to load the </w:t>
      </w:r>
      <w:r w:rsidR="02AAC090">
        <w:t>50</w:t>
      </w:r>
      <w:r w:rsidR="3B1677F2">
        <w:t xml:space="preserve"> different layers of data within it. There’s a lot of information there</w:t>
      </w:r>
      <w:r w:rsidR="39E733D7">
        <w:t>!</w:t>
      </w:r>
    </w:p>
    <w:p w:rsidR="29725E1D" w:rsidRDefault="29725E1D" w:rsidP="72F27F03">
      <w:pPr>
        <w:pStyle w:val="ListParagraph"/>
        <w:numPr>
          <w:ilvl w:val="0"/>
          <w:numId w:val="1"/>
        </w:numPr>
      </w:pPr>
      <w:r>
        <w:t xml:space="preserve">User tip: </w:t>
      </w:r>
      <w:r w:rsidR="3B1677F2">
        <w:t>Once the map loads, click the “Toggle Layers” widget in the top left of your screen under the address bar to see a full list of map layers containing key information.</w:t>
      </w:r>
      <w:r>
        <w:br/>
      </w:r>
      <w:r w:rsidR="3B1677F2">
        <w:t xml:space="preserve"> </w:t>
      </w:r>
      <w:r w:rsidR="3D61FBFE">
        <w:rPr>
          <w:noProof/>
          <w:lang w:eastAsia="en-US"/>
        </w:rPr>
        <w:drawing>
          <wp:inline distT="0" distB="0" distL="0" distR="0" wp14:anchorId="241EA99C" wp14:editId="0006C96D">
            <wp:extent cx="5943600" cy="2676525"/>
            <wp:effectExtent l="0" t="0" r="0" b="0"/>
            <wp:docPr id="1288725557" name="Picture 1288725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2676525"/>
                    </a:xfrm>
                    <a:prstGeom prst="rect">
                      <a:avLst/>
                    </a:prstGeom>
                  </pic:spPr>
                </pic:pic>
              </a:graphicData>
            </a:graphic>
          </wp:inline>
        </w:drawing>
      </w:r>
    </w:p>
    <w:p w:rsidR="3AC5FE0E" w:rsidRDefault="3AC5FE0E" w:rsidP="72F27F03">
      <w:pPr>
        <w:pStyle w:val="ListParagraph"/>
        <w:numPr>
          <w:ilvl w:val="0"/>
          <w:numId w:val="7"/>
        </w:numPr>
      </w:pPr>
      <w:r>
        <w:t xml:space="preserve">User tip: </w:t>
      </w:r>
      <w:r w:rsidR="3B1677F2">
        <w:t xml:space="preserve">For faster loading and to isolate individual layers, click the icon that looks like three bars with a check mark </w:t>
      </w:r>
      <w:r w:rsidR="4D7633C3">
        <w:t>laid across them in the “T</w:t>
      </w:r>
      <w:r w:rsidR="7BAAE0EC">
        <w:t xml:space="preserve">oggle </w:t>
      </w:r>
      <w:r w:rsidR="51BA4BDC">
        <w:t>L</w:t>
      </w:r>
      <w:r w:rsidR="7BAAE0EC">
        <w:t>ayers</w:t>
      </w:r>
      <w:r w:rsidR="7803BFF0">
        <w:t>” window</w:t>
      </w:r>
      <w:r w:rsidR="7BAAE0EC">
        <w:t xml:space="preserve"> and select “Turn all layers off.” You can find it next to </w:t>
      </w:r>
      <w:r w:rsidR="3B1677F2">
        <w:t>magnifying glass</w:t>
      </w:r>
      <w:r w:rsidR="53DF1977">
        <w:t xml:space="preserve">. </w:t>
      </w:r>
      <w:r w:rsidR="53DF1977">
        <w:lastRenderedPageBreak/>
        <w:t>Once selected</w:t>
      </w:r>
      <w:r w:rsidR="4DCEFBA7">
        <w:t xml:space="preserve">, </w:t>
      </w:r>
      <w:r w:rsidR="53DF1977">
        <w:t>all layers will be turned off, allowing for faster rendering and allowing you to select which layers you want to view.</w:t>
      </w:r>
    </w:p>
    <w:p w:rsidR="6BBC0507" w:rsidRDefault="6BBC0507" w:rsidP="72F27F03">
      <w:r>
        <w:rPr>
          <w:noProof/>
          <w:lang w:eastAsia="en-US"/>
        </w:rPr>
        <w:drawing>
          <wp:inline distT="0" distB="0" distL="0" distR="0" wp14:anchorId="252C3A2E" wp14:editId="081A5675">
            <wp:extent cx="5943600" cy="2667000"/>
            <wp:effectExtent l="0" t="0" r="0" b="0"/>
            <wp:docPr id="1256903519" name="Picture 125690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667000"/>
                    </a:xfrm>
                    <a:prstGeom prst="rect">
                      <a:avLst/>
                    </a:prstGeom>
                  </pic:spPr>
                </pic:pic>
              </a:graphicData>
            </a:graphic>
          </wp:inline>
        </w:drawing>
      </w:r>
    </w:p>
    <w:p w:rsidR="0518B797" w:rsidRDefault="0518B797" w:rsidP="72F27F03">
      <w:pPr>
        <w:rPr>
          <w:b/>
          <w:bCs/>
        </w:rPr>
      </w:pPr>
      <w:r w:rsidRPr="72F27F03">
        <w:rPr>
          <w:b/>
          <w:bCs/>
        </w:rPr>
        <w:t>Viewing Layers</w:t>
      </w:r>
    </w:p>
    <w:p w:rsidR="53DF1977" w:rsidRDefault="53DF1977" w:rsidP="72F27F03">
      <w:pPr>
        <w:pStyle w:val="ListParagraph"/>
        <w:numPr>
          <w:ilvl w:val="0"/>
          <w:numId w:val="7"/>
        </w:numPr>
      </w:pPr>
      <w:r>
        <w:t>User tip: The layers are stacked upon one another, meaning the layer on the top of the stack that is turned on is the one you will be viewing. Think of it as a sandwich—if the bun is on top, you can’t see the lettuce.</w:t>
      </w:r>
    </w:p>
    <w:p w:rsidR="063C5A80" w:rsidRDefault="063C5A80" w:rsidP="72F27F03">
      <w:pPr>
        <w:pStyle w:val="ListParagraph"/>
        <w:numPr>
          <w:ilvl w:val="0"/>
          <w:numId w:val="7"/>
        </w:numPr>
      </w:pPr>
      <w:r>
        <w:t>User tip: The top two layers, “Identified as a disadvantaged community (CEJST)” and “Is low income (CEJST)” are transparent, meaning they can be overlaid on an underlying layer to</w:t>
      </w:r>
      <w:r w:rsidR="34F508C4">
        <w:t xml:space="preserve"> show the relationship between being considered a disadvantaged community, being a </w:t>
      </w:r>
      <w:r w:rsidR="0F6C8B11">
        <w:t>low-income</w:t>
      </w:r>
      <w:r w:rsidR="34F508C4">
        <w:t xml:space="preserve"> community, and the third layer you select. For example, if you have those first two layers on and then select “PM 2.5 in the air (percentile) (CEJST)” you ca</w:t>
      </w:r>
      <w:r w:rsidR="7A23F4CD">
        <w:t>n see which communities are classified as disadvantaged, are low-income, AND rank in the upper percentiles for PM 2.5 pollution in the air.</w:t>
      </w:r>
    </w:p>
    <w:p w:rsidR="139FE876" w:rsidRDefault="139FE876" w:rsidP="72F27F03">
      <w:r>
        <w:rPr>
          <w:noProof/>
          <w:lang w:eastAsia="en-US"/>
        </w:rPr>
        <w:lastRenderedPageBreak/>
        <w:drawing>
          <wp:inline distT="0" distB="0" distL="0" distR="0" wp14:anchorId="520254AA" wp14:editId="7FC121B4">
            <wp:extent cx="5943600" cy="2686050"/>
            <wp:effectExtent l="0" t="0" r="0" b="0"/>
            <wp:docPr id="1240975138" name="Picture 124097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2686050"/>
                    </a:xfrm>
                    <a:prstGeom prst="rect">
                      <a:avLst/>
                    </a:prstGeom>
                  </pic:spPr>
                </pic:pic>
              </a:graphicData>
            </a:graphic>
          </wp:inline>
        </w:drawing>
      </w:r>
    </w:p>
    <w:p w:rsidR="6A90D251" w:rsidRDefault="6A90D251" w:rsidP="72F27F03">
      <w:pPr>
        <w:pStyle w:val="ListParagraph"/>
        <w:numPr>
          <w:ilvl w:val="0"/>
          <w:numId w:val="7"/>
        </w:numPr>
      </w:pPr>
      <w:r>
        <w:t xml:space="preserve">User tip: For every layer, the first row of data that is shown in the list contains the information about the layer. The names can be a little </w:t>
      </w:r>
      <w:r w:rsidR="238C803A">
        <w:t>misleading but</w:t>
      </w:r>
      <w:r>
        <w:t xml:space="preserve"> be assured that the first row in the </w:t>
      </w:r>
      <w:r w:rsidR="5BDD8627">
        <w:t>pop-up</w:t>
      </w:r>
      <w:r>
        <w:t xml:space="preserve"> window contains the information of the layer you have selected. If you’d like to see the full name and description of the layer you’re viewing, view the EJ Map Codebook below or download it here.</w:t>
      </w:r>
    </w:p>
    <w:p w:rsidR="2553E452" w:rsidRDefault="2553E452" w:rsidP="72F27F03">
      <w:r>
        <w:rPr>
          <w:noProof/>
          <w:lang w:eastAsia="en-US"/>
        </w:rPr>
        <w:drawing>
          <wp:inline distT="0" distB="0" distL="0" distR="0" wp14:anchorId="45B8622B" wp14:editId="0C80AB80">
            <wp:extent cx="5943600" cy="2686050"/>
            <wp:effectExtent l="0" t="0" r="0" b="0"/>
            <wp:docPr id="929580967" name="Picture 92958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2686050"/>
                    </a:xfrm>
                    <a:prstGeom prst="rect">
                      <a:avLst/>
                    </a:prstGeom>
                  </pic:spPr>
                </pic:pic>
              </a:graphicData>
            </a:graphic>
          </wp:inline>
        </w:drawing>
      </w:r>
    </w:p>
    <w:p w:rsidR="0258284F" w:rsidRDefault="0258284F" w:rsidP="72F27F03">
      <w:pPr>
        <w:rPr>
          <w:b/>
          <w:bCs/>
        </w:rPr>
      </w:pPr>
      <w:r w:rsidRPr="72F27F03">
        <w:rPr>
          <w:b/>
          <w:bCs/>
        </w:rPr>
        <w:t xml:space="preserve">Layer </w:t>
      </w:r>
      <w:r w:rsidR="78C797FB" w:rsidRPr="72F27F03">
        <w:rPr>
          <w:b/>
          <w:bCs/>
        </w:rPr>
        <w:t>C</w:t>
      </w:r>
      <w:r w:rsidRPr="72F27F03">
        <w:rPr>
          <w:b/>
          <w:bCs/>
        </w:rPr>
        <w:t xml:space="preserve">ategorization and </w:t>
      </w:r>
      <w:r w:rsidR="0A68639B" w:rsidRPr="72F27F03">
        <w:rPr>
          <w:b/>
          <w:bCs/>
        </w:rPr>
        <w:t>L</w:t>
      </w:r>
      <w:r w:rsidRPr="72F27F03">
        <w:rPr>
          <w:b/>
          <w:bCs/>
        </w:rPr>
        <w:t>egends</w:t>
      </w:r>
    </w:p>
    <w:p w:rsidR="139FE876" w:rsidRDefault="139FE876" w:rsidP="72F27F03">
      <w:pPr>
        <w:pStyle w:val="ListParagraph"/>
        <w:numPr>
          <w:ilvl w:val="0"/>
          <w:numId w:val="6"/>
        </w:numPr>
      </w:pPr>
      <w:r>
        <w:t xml:space="preserve">User tip: The </w:t>
      </w:r>
      <w:r w:rsidR="1C07DA55">
        <w:t>layers are categorized in groups by order. The top two layers, as described above, are helpful for connecting environmental pollution and climate vulnerabilities to economic disadvantages and marginalized populations. The rest</w:t>
      </w:r>
      <w:r w:rsidR="7E65183C">
        <w:t xml:space="preserve"> of the layers</w:t>
      </w:r>
      <w:r w:rsidR="1C07DA55">
        <w:t xml:space="preserve"> follow a categorization by g</w:t>
      </w:r>
      <w:r w:rsidR="51FE2730">
        <w:t>roup in order of:</w:t>
      </w:r>
    </w:p>
    <w:p w:rsidR="51FE2730" w:rsidRDefault="51FE2730" w:rsidP="72F27F03">
      <w:pPr>
        <w:pStyle w:val="ListParagraph"/>
        <w:numPr>
          <w:ilvl w:val="1"/>
          <w:numId w:val="6"/>
        </w:numPr>
      </w:pPr>
      <w:r>
        <w:t>Group 1: Pollution Risks</w:t>
      </w:r>
    </w:p>
    <w:p w:rsidR="51FE2730" w:rsidRDefault="51FE2730" w:rsidP="72F27F03">
      <w:pPr>
        <w:pStyle w:val="ListParagraph"/>
        <w:numPr>
          <w:ilvl w:val="1"/>
          <w:numId w:val="6"/>
        </w:numPr>
      </w:pPr>
      <w:r>
        <w:lastRenderedPageBreak/>
        <w:t>Group 2: Environmental Justice Burdens</w:t>
      </w:r>
    </w:p>
    <w:p w:rsidR="51FE2730" w:rsidRDefault="51FE2730" w:rsidP="72F27F03">
      <w:pPr>
        <w:pStyle w:val="ListParagraph"/>
        <w:numPr>
          <w:ilvl w:val="1"/>
          <w:numId w:val="6"/>
        </w:numPr>
      </w:pPr>
      <w:r>
        <w:t>Group 3: Climate Vulnerabilities</w:t>
      </w:r>
    </w:p>
    <w:p w:rsidR="51FE2730" w:rsidRDefault="51FE2730" w:rsidP="72F27F03">
      <w:pPr>
        <w:pStyle w:val="ListParagraph"/>
        <w:numPr>
          <w:ilvl w:val="1"/>
          <w:numId w:val="6"/>
        </w:numPr>
      </w:pPr>
      <w:r>
        <w:t>Group 4: Health Disparities</w:t>
      </w:r>
    </w:p>
    <w:p w:rsidR="51FE2730" w:rsidRDefault="51FE2730" w:rsidP="72F27F03">
      <w:pPr>
        <w:pStyle w:val="ListParagraph"/>
        <w:numPr>
          <w:ilvl w:val="1"/>
          <w:numId w:val="6"/>
        </w:numPr>
      </w:pPr>
      <w:r>
        <w:t>Group 5: Demographic Information</w:t>
      </w:r>
    </w:p>
    <w:p w:rsidR="51FE2730" w:rsidRDefault="51FE2730" w:rsidP="72F27F03">
      <w:pPr>
        <w:pStyle w:val="ListParagraph"/>
        <w:numPr>
          <w:ilvl w:val="1"/>
          <w:numId w:val="6"/>
        </w:numPr>
      </w:pPr>
      <w:r>
        <w:t>Group 5: Economic Disadvantages</w:t>
      </w:r>
    </w:p>
    <w:p w:rsidR="72F27F03" w:rsidRDefault="72F27F03" w:rsidP="72F27F03">
      <w:pPr>
        <w:pStyle w:val="ListParagraph"/>
        <w:ind w:left="1440"/>
      </w:pPr>
    </w:p>
    <w:p w:rsidR="1D5D3741" w:rsidRDefault="1D5D3741" w:rsidP="72F27F03">
      <w:pPr>
        <w:pStyle w:val="ListParagraph"/>
        <w:numPr>
          <w:ilvl w:val="0"/>
          <w:numId w:val="6"/>
        </w:numPr>
      </w:pPr>
      <w:r>
        <w:t xml:space="preserve">User tip: To view the legend for your layer, simply click on </w:t>
      </w:r>
      <w:r w:rsidR="76E0E42C">
        <w:t>its</w:t>
      </w:r>
      <w:r>
        <w:t xml:space="preserve"> name within the “Toggle Layers” window and it will expand.</w:t>
      </w:r>
    </w:p>
    <w:p w:rsidR="6E792226" w:rsidRDefault="6E792226" w:rsidP="72F27F03">
      <w:r>
        <w:rPr>
          <w:noProof/>
          <w:lang w:eastAsia="en-US"/>
        </w:rPr>
        <w:drawing>
          <wp:inline distT="0" distB="0" distL="0" distR="0" wp14:anchorId="46AB6A86" wp14:editId="7F298D00">
            <wp:extent cx="5943600" cy="2686050"/>
            <wp:effectExtent l="0" t="0" r="0" b="0"/>
            <wp:docPr id="441522580" name="Picture 44152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2686050"/>
                    </a:xfrm>
                    <a:prstGeom prst="rect">
                      <a:avLst/>
                    </a:prstGeom>
                  </pic:spPr>
                </pic:pic>
              </a:graphicData>
            </a:graphic>
          </wp:inline>
        </w:drawing>
      </w:r>
    </w:p>
    <w:p w:rsidR="402111D1" w:rsidRDefault="402111D1" w:rsidP="72F27F03">
      <w:pPr>
        <w:rPr>
          <w:b/>
          <w:bCs/>
        </w:rPr>
      </w:pPr>
      <w:r w:rsidRPr="72F27F03">
        <w:rPr>
          <w:b/>
          <w:bCs/>
        </w:rPr>
        <w:t xml:space="preserve">Tools and </w:t>
      </w:r>
      <w:r w:rsidR="39440869" w:rsidRPr="72F27F03">
        <w:rPr>
          <w:b/>
          <w:bCs/>
        </w:rPr>
        <w:t>F</w:t>
      </w:r>
      <w:r w:rsidRPr="72F27F03">
        <w:rPr>
          <w:b/>
          <w:bCs/>
        </w:rPr>
        <w:t>unctionality</w:t>
      </w:r>
    </w:p>
    <w:p w:rsidR="6E792226" w:rsidRDefault="6E792226" w:rsidP="72F27F03">
      <w:pPr>
        <w:pStyle w:val="ListParagraph"/>
        <w:numPr>
          <w:ilvl w:val="0"/>
          <w:numId w:val="5"/>
        </w:numPr>
      </w:pPr>
      <w:r>
        <w:t xml:space="preserve">User tip: To view this information in your community, or even at your home address, school, or place of work, simply use the “Find address or place” search function. You can enter a </w:t>
      </w:r>
      <w:r w:rsidR="1F805A6E">
        <w:t xml:space="preserve">city name, zip code, street address, or county and the map will zoom to that location. </w:t>
      </w:r>
    </w:p>
    <w:p w:rsidR="5274B916" w:rsidRDefault="5274B916" w:rsidP="72F27F03">
      <w:r>
        <w:rPr>
          <w:noProof/>
          <w:lang w:eastAsia="en-US"/>
        </w:rPr>
        <w:lastRenderedPageBreak/>
        <w:drawing>
          <wp:inline distT="0" distB="0" distL="0" distR="0" wp14:anchorId="580DD01B" wp14:editId="6EB77C7D">
            <wp:extent cx="5943600" cy="2705100"/>
            <wp:effectExtent l="0" t="0" r="0" b="0"/>
            <wp:docPr id="1585925563" name="Picture 1585925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2705100"/>
                    </a:xfrm>
                    <a:prstGeom prst="rect">
                      <a:avLst/>
                    </a:prstGeom>
                  </pic:spPr>
                </pic:pic>
              </a:graphicData>
            </a:graphic>
          </wp:inline>
        </w:drawing>
      </w:r>
    </w:p>
    <w:p w:rsidR="5274B916" w:rsidRDefault="5274B916" w:rsidP="72F27F03">
      <w:pPr>
        <w:pStyle w:val="ListParagraph"/>
        <w:numPr>
          <w:ilvl w:val="0"/>
          <w:numId w:val="4"/>
        </w:numPr>
      </w:pPr>
      <w:r>
        <w:t>User tip: This map comes equipped with tools you can use to increase its functionality in your learning and work. For example, there is a measur</w:t>
      </w:r>
      <w:r w:rsidR="717D543B">
        <w:t>ement tool that allows you to measure the distance</w:t>
      </w:r>
      <w:r w:rsidR="2D635D28">
        <w:t xml:space="preserve"> (in miles)</w:t>
      </w:r>
      <w:r w:rsidR="717D543B">
        <w:t xml:space="preserve"> between a </w:t>
      </w:r>
      <w:r w:rsidR="54306D02">
        <w:t xml:space="preserve">census block group with a </w:t>
      </w:r>
      <w:r w:rsidR="717D543B">
        <w:t>Superfund site (or any other featured layer) and a community amenity, such as a public pool</w:t>
      </w:r>
      <w:r w:rsidR="1B81E477">
        <w:t xml:space="preserve"> as shown here</w:t>
      </w:r>
      <w:r w:rsidR="717D543B">
        <w:t xml:space="preserve">. This tool also allows you to </w:t>
      </w:r>
      <w:r w:rsidR="1BD4AA2D">
        <w:t xml:space="preserve">draw a polygon onto the map that tells you how big the area you drew is (in acres). </w:t>
      </w:r>
    </w:p>
    <w:p w:rsidR="1BD4AA2D" w:rsidRDefault="1BD4AA2D" w:rsidP="72F27F03">
      <w:r>
        <w:rPr>
          <w:noProof/>
          <w:lang w:eastAsia="en-US"/>
        </w:rPr>
        <w:drawing>
          <wp:inline distT="0" distB="0" distL="0" distR="0" wp14:anchorId="664E1EB1" wp14:editId="7BE90729">
            <wp:extent cx="5943600" cy="2676525"/>
            <wp:effectExtent l="0" t="0" r="0" b="0"/>
            <wp:docPr id="765860727" name="Picture 765860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2676525"/>
                    </a:xfrm>
                    <a:prstGeom prst="rect">
                      <a:avLst/>
                    </a:prstGeom>
                  </pic:spPr>
                </pic:pic>
              </a:graphicData>
            </a:graphic>
          </wp:inline>
        </w:drawing>
      </w:r>
    </w:p>
    <w:p w:rsidR="413BF718" w:rsidRDefault="413BF718" w:rsidP="72F27F03">
      <w:pPr>
        <w:pStyle w:val="ListParagraph"/>
        <w:numPr>
          <w:ilvl w:val="0"/>
          <w:numId w:val="3"/>
        </w:numPr>
      </w:pPr>
      <w:r>
        <w:t xml:space="preserve">User tip: This map is also equipped with a swipe tool. This tool allows you to swipe away one layer while leaving another one visible. </w:t>
      </w:r>
      <w:r w:rsidR="268B64D8">
        <w:t>Simply select the “Swipe Layer” widget and select which layer you would like to be swipeable</w:t>
      </w:r>
      <w:r w:rsidR="6181ACC3">
        <w:t xml:space="preserve"> from the list of map layers</w:t>
      </w:r>
      <w:r w:rsidR="268B64D8">
        <w:t xml:space="preserve">. For this to work most effectively, you should have at least two layers visible on the map. </w:t>
      </w:r>
      <w:r>
        <w:t xml:space="preserve">This tool can be used to demonstrate the relationship </w:t>
      </w:r>
      <w:r>
        <w:lastRenderedPageBreak/>
        <w:t xml:space="preserve">between any two layers, such as a census tract that was </w:t>
      </w:r>
      <w:r w:rsidR="7589C353">
        <w:t>historically redlined</w:t>
      </w:r>
      <w:r>
        <w:t xml:space="preserve"> and </w:t>
      </w:r>
      <w:r w:rsidR="03D1F14C">
        <w:t xml:space="preserve">the prevalence of health conditions such as coronary heart disease. </w:t>
      </w:r>
    </w:p>
    <w:p w:rsidR="40B4BC2E" w:rsidRDefault="40B4BC2E" w:rsidP="72F27F03">
      <w:r>
        <w:rPr>
          <w:noProof/>
          <w:lang w:eastAsia="en-US"/>
        </w:rPr>
        <w:drawing>
          <wp:inline distT="0" distB="0" distL="0" distR="0" wp14:anchorId="5A5053E9" wp14:editId="4195C5CA">
            <wp:extent cx="5943600" cy="2686050"/>
            <wp:effectExtent l="0" t="0" r="0" b="0"/>
            <wp:docPr id="1633464717" name="Picture 1633464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2686050"/>
                    </a:xfrm>
                    <a:prstGeom prst="rect">
                      <a:avLst/>
                    </a:prstGeom>
                  </pic:spPr>
                </pic:pic>
              </a:graphicData>
            </a:graphic>
          </wp:inline>
        </w:drawing>
      </w:r>
    </w:p>
    <w:p w:rsidR="0322EA58" w:rsidRDefault="0322EA58" w:rsidP="72F27F03">
      <w:pPr>
        <w:pStyle w:val="ListParagraph"/>
        <w:numPr>
          <w:ilvl w:val="0"/>
          <w:numId w:val="2"/>
        </w:numPr>
      </w:pPr>
      <w:r>
        <w:t>User tip: You can share this map in a variety of ways by simply clicking the “Share” widget. This widget will bring up a window with a link you can copy and paste in an email</w:t>
      </w:r>
      <w:r w:rsidR="0DC1C4EA">
        <w:t xml:space="preserve">, text, or on social media. If you want to share a link that is already zoomed into the location you’d like, click “Link options” just below the link and select </w:t>
      </w:r>
      <w:r w:rsidR="1843566E">
        <w:t>“Click the map to define the center of the map with zoom level.” This will update your link to zoom into your selected zoom level when you share it, highlighting a city, home, or other location.</w:t>
      </w:r>
    </w:p>
    <w:p w:rsidR="05A24377" w:rsidRDefault="05A24377" w:rsidP="72F27F03">
      <w:r>
        <w:rPr>
          <w:noProof/>
          <w:lang w:eastAsia="en-US"/>
        </w:rPr>
        <w:drawing>
          <wp:inline distT="0" distB="0" distL="0" distR="0" wp14:anchorId="23CD1330" wp14:editId="19CA22B5">
            <wp:extent cx="5943600" cy="2657475"/>
            <wp:effectExtent l="0" t="0" r="0" b="0"/>
            <wp:docPr id="384871685" name="Picture 3848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2657475"/>
                    </a:xfrm>
                    <a:prstGeom prst="rect">
                      <a:avLst/>
                    </a:prstGeom>
                  </pic:spPr>
                </pic:pic>
              </a:graphicData>
            </a:graphic>
          </wp:inline>
        </w:drawing>
      </w:r>
    </w:p>
    <w:p w:rsidR="5E357EA6" w:rsidRDefault="5E357EA6" w:rsidP="72F27F03">
      <w:pPr>
        <w:rPr>
          <w:b/>
          <w:bCs/>
        </w:rPr>
      </w:pPr>
      <w:r w:rsidRPr="72F27F03">
        <w:rPr>
          <w:b/>
          <w:bCs/>
        </w:rPr>
        <w:t>Background Information and Data Sources</w:t>
      </w:r>
    </w:p>
    <w:p w:rsidR="1412B0E6" w:rsidRDefault="1412B0E6" w:rsidP="72F27F03">
      <w:r>
        <w:lastRenderedPageBreak/>
        <w:t xml:space="preserve">Every layer featured on this map came from either the Council on Environmental Quality’s Climate and Economic Justice Screening Tool </w:t>
      </w:r>
      <w:r w:rsidR="32E34A64">
        <w:t xml:space="preserve">(CEJST) </w:t>
      </w:r>
      <w:r>
        <w:t xml:space="preserve">or the U.S. Environmental Protection Agency’s EJ Screen </w:t>
      </w:r>
      <w:r w:rsidR="17DDAE5B">
        <w:t xml:space="preserve">(EJS) </w:t>
      </w:r>
      <w:r>
        <w:t xml:space="preserve">map. On Jan. 22, </w:t>
      </w:r>
      <w:r w:rsidR="0D71082B">
        <w:t xml:space="preserve">2025, CEJST was removed from the federal webpage that hosted it, but it is now available </w:t>
      </w:r>
      <w:hyperlink r:id="rId20">
        <w:r w:rsidR="0D71082B" w:rsidRPr="72F27F03">
          <w:rPr>
            <w:rStyle w:val="Hyperlink"/>
          </w:rPr>
          <w:t>here</w:t>
        </w:r>
      </w:hyperlink>
      <w:r w:rsidR="0D71082B">
        <w:t xml:space="preserve">. EJS can be accessed </w:t>
      </w:r>
      <w:hyperlink r:id="rId21">
        <w:r w:rsidR="0D71082B" w:rsidRPr="72F27F03">
          <w:rPr>
            <w:rStyle w:val="Hyperlink"/>
          </w:rPr>
          <w:t>here</w:t>
        </w:r>
      </w:hyperlink>
      <w:r w:rsidR="0D71082B">
        <w:t xml:space="preserve">. </w:t>
      </w:r>
    </w:p>
    <w:p w:rsidR="2439DB0A" w:rsidRDefault="0D71082B" w:rsidP="001F3BA1">
      <w:r>
        <w:t xml:space="preserve">To further explain the definitions and categorization of this climate change, health, environmental justice, demographic, and economic information, </w:t>
      </w:r>
      <w:r w:rsidR="2439DB0A">
        <w:t>IEC created an IEC EJ Map Codebo</w:t>
      </w:r>
      <w:r w:rsidR="001F3BA1">
        <w:t xml:space="preserve">ok that you can download </w:t>
      </w:r>
      <w:hyperlink r:id="rId22" w:history="1">
        <w:r w:rsidR="001F3BA1" w:rsidRPr="001F3BA1">
          <w:rPr>
            <w:rStyle w:val="Hyperlink"/>
          </w:rPr>
          <w:t>here</w:t>
        </w:r>
      </w:hyperlink>
      <w:r w:rsidR="001F3BA1">
        <w:t>.</w:t>
      </w:r>
      <w:bookmarkStart w:id="0" w:name="_GoBack"/>
      <w:bookmarkEnd w:id="0"/>
    </w:p>
    <w:sectPr w:rsidR="2439DB0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96FF4" w:rsidRDefault="00896FF4" w:rsidP="001F3BA1">
      <w:pPr>
        <w:spacing w:after="0" w:line="240" w:lineRule="auto"/>
      </w:pPr>
      <w:r>
        <w:separator/>
      </w:r>
    </w:p>
  </w:endnote>
  <w:endnote w:type="continuationSeparator" w:id="0">
    <w:p w:rsidR="00896FF4" w:rsidRDefault="00896FF4" w:rsidP="001F3B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00000001" w:usb1="00000003" w:usb2="00000000" w:usb3="00000000" w:csb0="0000019F" w:csb1="00000000"/>
  </w:font>
  <w:font w:name="Aptos Display">
    <w:altName w:val="Arial"/>
    <w:charset w:val="00"/>
    <w:family w:val="swiss"/>
    <w:pitch w:val="variable"/>
    <w:sig w:usb0="00000001" w:usb1="00000003"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96FF4" w:rsidRDefault="00896FF4" w:rsidP="001F3BA1">
      <w:pPr>
        <w:spacing w:after="0" w:line="240" w:lineRule="auto"/>
      </w:pPr>
      <w:r>
        <w:separator/>
      </w:r>
    </w:p>
  </w:footnote>
  <w:footnote w:type="continuationSeparator" w:id="0">
    <w:p w:rsidR="00896FF4" w:rsidRDefault="00896FF4" w:rsidP="001F3BA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4B77F6"/>
    <w:multiLevelType w:val="hybridMultilevel"/>
    <w:tmpl w:val="F8102830"/>
    <w:lvl w:ilvl="0" w:tplc="1DD6EA6A">
      <w:start w:val="1"/>
      <w:numFmt w:val="bullet"/>
      <w:lvlText w:val=""/>
      <w:lvlJc w:val="left"/>
      <w:pPr>
        <w:ind w:left="720" w:hanging="360"/>
      </w:pPr>
      <w:rPr>
        <w:rFonts w:ascii="Symbol" w:hAnsi="Symbol" w:hint="default"/>
      </w:rPr>
    </w:lvl>
    <w:lvl w:ilvl="1" w:tplc="6A580F50">
      <w:start w:val="1"/>
      <w:numFmt w:val="bullet"/>
      <w:lvlText w:val="o"/>
      <w:lvlJc w:val="left"/>
      <w:pPr>
        <w:ind w:left="1440" w:hanging="360"/>
      </w:pPr>
      <w:rPr>
        <w:rFonts w:ascii="Courier New" w:hAnsi="Courier New" w:hint="default"/>
      </w:rPr>
    </w:lvl>
    <w:lvl w:ilvl="2" w:tplc="B734CCEC">
      <w:start w:val="1"/>
      <w:numFmt w:val="bullet"/>
      <w:lvlText w:val=""/>
      <w:lvlJc w:val="left"/>
      <w:pPr>
        <w:ind w:left="2160" w:hanging="360"/>
      </w:pPr>
      <w:rPr>
        <w:rFonts w:ascii="Wingdings" w:hAnsi="Wingdings" w:hint="default"/>
      </w:rPr>
    </w:lvl>
    <w:lvl w:ilvl="3" w:tplc="248EC3AE">
      <w:start w:val="1"/>
      <w:numFmt w:val="bullet"/>
      <w:lvlText w:val=""/>
      <w:lvlJc w:val="left"/>
      <w:pPr>
        <w:ind w:left="2880" w:hanging="360"/>
      </w:pPr>
      <w:rPr>
        <w:rFonts w:ascii="Symbol" w:hAnsi="Symbol" w:hint="default"/>
      </w:rPr>
    </w:lvl>
    <w:lvl w:ilvl="4" w:tplc="6C8000E0">
      <w:start w:val="1"/>
      <w:numFmt w:val="bullet"/>
      <w:lvlText w:val="o"/>
      <w:lvlJc w:val="left"/>
      <w:pPr>
        <w:ind w:left="3600" w:hanging="360"/>
      </w:pPr>
      <w:rPr>
        <w:rFonts w:ascii="Courier New" w:hAnsi="Courier New" w:hint="default"/>
      </w:rPr>
    </w:lvl>
    <w:lvl w:ilvl="5" w:tplc="D430E916">
      <w:start w:val="1"/>
      <w:numFmt w:val="bullet"/>
      <w:lvlText w:val=""/>
      <w:lvlJc w:val="left"/>
      <w:pPr>
        <w:ind w:left="4320" w:hanging="360"/>
      </w:pPr>
      <w:rPr>
        <w:rFonts w:ascii="Wingdings" w:hAnsi="Wingdings" w:hint="default"/>
      </w:rPr>
    </w:lvl>
    <w:lvl w:ilvl="6" w:tplc="7172914E">
      <w:start w:val="1"/>
      <w:numFmt w:val="bullet"/>
      <w:lvlText w:val=""/>
      <w:lvlJc w:val="left"/>
      <w:pPr>
        <w:ind w:left="5040" w:hanging="360"/>
      </w:pPr>
      <w:rPr>
        <w:rFonts w:ascii="Symbol" w:hAnsi="Symbol" w:hint="default"/>
      </w:rPr>
    </w:lvl>
    <w:lvl w:ilvl="7" w:tplc="E314FDC8">
      <w:start w:val="1"/>
      <w:numFmt w:val="bullet"/>
      <w:lvlText w:val="o"/>
      <w:lvlJc w:val="left"/>
      <w:pPr>
        <w:ind w:left="5760" w:hanging="360"/>
      </w:pPr>
      <w:rPr>
        <w:rFonts w:ascii="Courier New" w:hAnsi="Courier New" w:hint="default"/>
      </w:rPr>
    </w:lvl>
    <w:lvl w:ilvl="8" w:tplc="6CEAEAB0">
      <w:start w:val="1"/>
      <w:numFmt w:val="bullet"/>
      <w:lvlText w:val=""/>
      <w:lvlJc w:val="left"/>
      <w:pPr>
        <w:ind w:left="6480" w:hanging="360"/>
      </w:pPr>
      <w:rPr>
        <w:rFonts w:ascii="Wingdings" w:hAnsi="Wingdings" w:hint="default"/>
      </w:rPr>
    </w:lvl>
  </w:abstractNum>
  <w:abstractNum w:abstractNumId="1" w15:restartNumberingAfterBreak="0">
    <w:nsid w:val="1B6E3E5B"/>
    <w:multiLevelType w:val="hybridMultilevel"/>
    <w:tmpl w:val="193C7F68"/>
    <w:lvl w:ilvl="0" w:tplc="6032D136">
      <w:start w:val="1"/>
      <w:numFmt w:val="bullet"/>
      <w:lvlText w:val=""/>
      <w:lvlJc w:val="left"/>
      <w:pPr>
        <w:ind w:left="720" w:hanging="360"/>
      </w:pPr>
      <w:rPr>
        <w:rFonts w:ascii="Symbol" w:hAnsi="Symbol" w:hint="default"/>
      </w:rPr>
    </w:lvl>
    <w:lvl w:ilvl="1" w:tplc="89CA9474">
      <w:start w:val="1"/>
      <w:numFmt w:val="bullet"/>
      <w:lvlText w:val="o"/>
      <w:lvlJc w:val="left"/>
      <w:pPr>
        <w:ind w:left="1440" w:hanging="360"/>
      </w:pPr>
      <w:rPr>
        <w:rFonts w:ascii="Courier New" w:hAnsi="Courier New" w:hint="default"/>
      </w:rPr>
    </w:lvl>
    <w:lvl w:ilvl="2" w:tplc="BFFEEC34">
      <w:start w:val="1"/>
      <w:numFmt w:val="bullet"/>
      <w:lvlText w:val=""/>
      <w:lvlJc w:val="left"/>
      <w:pPr>
        <w:ind w:left="2160" w:hanging="360"/>
      </w:pPr>
      <w:rPr>
        <w:rFonts w:ascii="Wingdings" w:hAnsi="Wingdings" w:hint="default"/>
      </w:rPr>
    </w:lvl>
    <w:lvl w:ilvl="3" w:tplc="416C398E">
      <w:start w:val="1"/>
      <w:numFmt w:val="bullet"/>
      <w:lvlText w:val=""/>
      <w:lvlJc w:val="left"/>
      <w:pPr>
        <w:ind w:left="2880" w:hanging="360"/>
      </w:pPr>
      <w:rPr>
        <w:rFonts w:ascii="Symbol" w:hAnsi="Symbol" w:hint="default"/>
      </w:rPr>
    </w:lvl>
    <w:lvl w:ilvl="4" w:tplc="77A8D5DC">
      <w:start w:val="1"/>
      <w:numFmt w:val="bullet"/>
      <w:lvlText w:val="o"/>
      <w:lvlJc w:val="left"/>
      <w:pPr>
        <w:ind w:left="3600" w:hanging="360"/>
      </w:pPr>
      <w:rPr>
        <w:rFonts w:ascii="Courier New" w:hAnsi="Courier New" w:hint="default"/>
      </w:rPr>
    </w:lvl>
    <w:lvl w:ilvl="5" w:tplc="D3E0D162">
      <w:start w:val="1"/>
      <w:numFmt w:val="bullet"/>
      <w:lvlText w:val=""/>
      <w:lvlJc w:val="left"/>
      <w:pPr>
        <w:ind w:left="4320" w:hanging="360"/>
      </w:pPr>
      <w:rPr>
        <w:rFonts w:ascii="Wingdings" w:hAnsi="Wingdings" w:hint="default"/>
      </w:rPr>
    </w:lvl>
    <w:lvl w:ilvl="6" w:tplc="4ADADB06">
      <w:start w:val="1"/>
      <w:numFmt w:val="bullet"/>
      <w:lvlText w:val=""/>
      <w:lvlJc w:val="left"/>
      <w:pPr>
        <w:ind w:left="5040" w:hanging="360"/>
      </w:pPr>
      <w:rPr>
        <w:rFonts w:ascii="Symbol" w:hAnsi="Symbol" w:hint="default"/>
      </w:rPr>
    </w:lvl>
    <w:lvl w:ilvl="7" w:tplc="015EAF44">
      <w:start w:val="1"/>
      <w:numFmt w:val="bullet"/>
      <w:lvlText w:val="o"/>
      <w:lvlJc w:val="left"/>
      <w:pPr>
        <w:ind w:left="5760" w:hanging="360"/>
      </w:pPr>
      <w:rPr>
        <w:rFonts w:ascii="Courier New" w:hAnsi="Courier New" w:hint="default"/>
      </w:rPr>
    </w:lvl>
    <w:lvl w:ilvl="8" w:tplc="75523FA2">
      <w:start w:val="1"/>
      <w:numFmt w:val="bullet"/>
      <w:lvlText w:val=""/>
      <w:lvlJc w:val="left"/>
      <w:pPr>
        <w:ind w:left="6480" w:hanging="360"/>
      </w:pPr>
      <w:rPr>
        <w:rFonts w:ascii="Wingdings" w:hAnsi="Wingdings" w:hint="default"/>
      </w:rPr>
    </w:lvl>
  </w:abstractNum>
  <w:abstractNum w:abstractNumId="2" w15:restartNumberingAfterBreak="0">
    <w:nsid w:val="3624E089"/>
    <w:multiLevelType w:val="hybridMultilevel"/>
    <w:tmpl w:val="A3DCC44A"/>
    <w:lvl w:ilvl="0" w:tplc="C39AA3A2">
      <w:start w:val="1"/>
      <w:numFmt w:val="bullet"/>
      <w:lvlText w:val=""/>
      <w:lvlJc w:val="left"/>
      <w:pPr>
        <w:ind w:left="720" w:hanging="360"/>
      </w:pPr>
      <w:rPr>
        <w:rFonts w:ascii="Symbol" w:hAnsi="Symbol" w:hint="default"/>
      </w:rPr>
    </w:lvl>
    <w:lvl w:ilvl="1" w:tplc="2FB48AC6">
      <w:start w:val="1"/>
      <w:numFmt w:val="bullet"/>
      <w:lvlText w:val="o"/>
      <w:lvlJc w:val="left"/>
      <w:pPr>
        <w:ind w:left="1440" w:hanging="360"/>
      </w:pPr>
      <w:rPr>
        <w:rFonts w:ascii="Courier New" w:hAnsi="Courier New" w:hint="default"/>
      </w:rPr>
    </w:lvl>
    <w:lvl w:ilvl="2" w:tplc="74E03B50">
      <w:start w:val="1"/>
      <w:numFmt w:val="bullet"/>
      <w:lvlText w:val=""/>
      <w:lvlJc w:val="left"/>
      <w:pPr>
        <w:ind w:left="2160" w:hanging="360"/>
      </w:pPr>
      <w:rPr>
        <w:rFonts w:ascii="Wingdings" w:hAnsi="Wingdings" w:hint="default"/>
      </w:rPr>
    </w:lvl>
    <w:lvl w:ilvl="3" w:tplc="CBA0577A">
      <w:start w:val="1"/>
      <w:numFmt w:val="bullet"/>
      <w:lvlText w:val=""/>
      <w:lvlJc w:val="left"/>
      <w:pPr>
        <w:ind w:left="2880" w:hanging="360"/>
      </w:pPr>
      <w:rPr>
        <w:rFonts w:ascii="Symbol" w:hAnsi="Symbol" w:hint="default"/>
      </w:rPr>
    </w:lvl>
    <w:lvl w:ilvl="4" w:tplc="72721988">
      <w:start w:val="1"/>
      <w:numFmt w:val="bullet"/>
      <w:lvlText w:val="o"/>
      <w:lvlJc w:val="left"/>
      <w:pPr>
        <w:ind w:left="3600" w:hanging="360"/>
      </w:pPr>
      <w:rPr>
        <w:rFonts w:ascii="Courier New" w:hAnsi="Courier New" w:hint="default"/>
      </w:rPr>
    </w:lvl>
    <w:lvl w:ilvl="5" w:tplc="B7BAF3E4">
      <w:start w:val="1"/>
      <w:numFmt w:val="bullet"/>
      <w:lvlText w:val=""/>
      <w:lvlJc w:val="left"/>
      <w:pPr>
        <w:ind w:left="4320" w:hanging="360"/>
      </w:pPr>
      <w:rPr>
        <w:rFonts w:ascii="Wingdings" w:hAnsi="Wingdings" w:hint="default"/>
      </w:rPr>
    </w:lvl>
    <w:lvl w:ilvl="6" w:tplc="FC6EAD06">
      <w:start w:val="1"/>
      <w:numFmt w:val="bullet"/>
      <w:lvlText w:val=""/>
      <w:lvlJc w:val="left"/>
      <w:pPr>
        <w:ind w:left="5040" w:hanging="360"/>
      </w:pPr>
      <w:rPr>
        <w:rFonts w:ascii="Symbol" w:hAnsi="Symbol" w:hint="default"/>
      </w:rPr>
    </w:lvl>
    <w:lvl w:ilvl="7" w:tplc="2EF256B6">
      <w:start w:val="1"/>
      <w:numFmt w:val="bullet"/>
      <w:lvlText w:val="o"/>
      <w:lvlJc w:val="left"/>
      <w:pPr>
        <w:ind w:left="5760" w:hanging="360"/>
      </w:pPr>
      <w:rPr>
        <w:rFonts w:ascii="Courier New" w:hAnsi="Courier New" w:hint="default"/>
      </w:rPr>
    </w:lvl>
    <w:lvl w:ilvl="8" w:tplc="140C6240">
      <w:start w:val="1"/>
      <w:numFmt w:val="bullet"/>
      <w:lvlText w:val=""/>
      <w:lvlJc w:val="left"/>
      <w:pPr>
        <w:ind w:left="6480" w:hanging="360"/>
      </w:pPr>
      <w:rPr>
        <w:rFonts w:ascii="Wingdings" w:hAnsi="Wingdings" w:hint="default"/>
      </w:rPr>
    </w:lvl>
  </w:abstractNum>
  <w:abstractNum w:abstractNumId="3" w15:restartNumberingAfterBreak="0">
    <w:nsid w:val="36B7C204"/>
    <w:multiLevelType w:val="hybridMultilevel"/>
    <w:tmpl w:val="C6BE0E68"/>
    <w:lvl w:ilvl="0" w:tplc="EE48EB62">
      <w:start w:val="1"/>
      <w:numFmt w:val="bullet"/>
      <w:lvlText w:val=""/>
      <w:lvlJc w:val="left"/>
      <w:pPr>
        <w:ind w:left="720" w:hanging="360"/>
      </w:pPr>
      <w:rPr>
        <w:rFonts w:ascii="Symbol" w:hAnsi="Symbol" w:hint="default"/>
      </w:rPr>
    </w:lvl>
    <w:lvl w:ilvl="1" w:tplc="970C5194">
      <w:start w:val="1"/>
      <w:numFmt w:val="bullet"/>
      <w:lvlText w:val="o"/>
      <w:lvlJc w:val="left"/>
      <w:pPr>
        <w:ind w:left="1440" w:hanging="360"/>
      </w:pPr>
      <w:rPr>
        <w:rFonts w:ascii="Courier New" w:hAnsi="Courier New" w:hint="default"/>
      </w:rPr>
    </w:lvl>
    <w:lvl w:ilvl="2" w:tplc="1E60C414">
      <w:start w:val="1"/>
      <w:numFmt w:val="bullet"/>
      <w:lvlText w:val=""/>
      <w:lvlJc w:val="left"/>
      <w:pPr>
        <w:ind w:left="2160" w:hanging="360"/>
      </w:pPr>
      <w:rPr>
        <w:rFonts w:ascii="Wingdings" w:hAnsi="Wingdings" w:hint="default"/>
      </w:rPr>
    </w:lvl>
    <w:lvl w:ilvl="3" w:tplc="E2DCCA86">
      <w:start w:val="1"/>
      <w:numFmt w:val="bullet"/>
      <w:lvlText w:val=""/>
      <w:lvlJc w:val="left"/>
      <w:pPr>
        <w:ind w:left="2880" w:hanging="360"/>
      </w:pPr>
      <w:rPr>
        <w:rFonts w:ascii="Symbol" w:hAnsi="Symbol" w:hint="default"/>
      </w:rPr>
    </w:lvl>
    <w:lvl w:ilvl="4" w:tplc="2772B608">
      <w:start w:val="1"/>
      <w:numFmt w:val="bullet"/>
      <w:lvlText w:val="o"/>
      <w:lvlJc w:val="left"/>
      <w:pPr>
        <w:ind w:left="3600" w:hanging="360"/>
      </w:pPr>
      <w:rPr>
        <w:rFonts w:ascii="Courier New" w:hAnsi="Courier New" w:hint="default"/>
      </w:rPr>
    </w:lvl>
    <w:lvl w:ilvl="5" w:tplc="C6CCFFEC">
      <w:start w:val="1"/>
      <w:numFmt w:val="bullet"/>
      <w:lvlText w:val=""/>
      <w:lvlJc w:val="left"/>
      <w:pPr>
        <w:ind w:left="4320" w:hanging="360"/>
      </w:pPr>
      <w:rPr>
        <w:rFonts w:ascii="Wingdings" w:hAnsi="Wingdings" w:hint="default"/>
      </w:rPr>
    </w:lvl>
    <w:lvl w:ilvl="6" w:tplc="A64AF82C">
      <w:start w:val="1"/>
      <w:numFmt w:val="bullet"/>
      <w:lvlText w:val=""/>
      <w:lvlJc w:val="left"/>
      <w:pPr>
        <w:ind w:left="5040" w:hanging="360"/>
      </w:pPr>
      <w:rPr>
        <w:rFonts w:ascii="Symbol" w:hAnsi="Symbol" w:hint="default"/>
      </w:rPr>
    </w:lvl>
    <w:lvl w:ilvl="7" w:tplc="56AC803E">
      <w:start w:val="1"/>
      <w:numFmt w:val="bullet"/>
      <w:lvlText w:val="o"/>
      <w:lvlJc w:val="left"/>
      <w:pPr>
        <w:ind w:left="5760" w:hanging="360"/>
      </w:pPr>
      <w:rPr>
        <w:rFonts w:ascii="Courier New" w:hAnsi="Courier New" w:hint="default"/>
      </w:rPr>
    </w:lvl>
    <w:lvl w:ilvl="8" w:tplc="420EA2B0">
      <w:start w:val="1"/>
      <w:numFmt w:val="bullet"/>
      <w:lvlText w:val=""/>
      <w:lvlJc w:val="left"/>
      <w:pPr>
        <w:ind w:left="6480" w:hanging="360"/>
      </w:pPr>
      <w:rPr>
        <w:rFonts w:ascii="Wingdings" w:hAnsi="Wingdings" w:hint="default"/>
      </w:rPr>
    </w:lvl>
  </w:abstractNum>
  <w:abstractNum w:abstractNumId="4" w15:restartNumberingAfterBreak="0">
    <w:nsid w:val="38786AD2"/>
    <w:multiLevelType w:val="hybridMultilevel"/>
    <w:tmpl w:val="2B3865F2"/>
    <w:lvl w:ilvl="0" w:tplc="8C7882C6">
      <w:start w:val="1"/>
      <w:numFmt w:val="bullet"/>
      <w:lvlText w:val=""/>
      <w:lvlJc w:val="left"/>
      <w:pPr>
        <w:ind w:left="720" w:hanging="360"/>
      </w:pPr>
      <w:rPr>
        <w:rFonts w:ascii="Symbol" w:hAnsi="Symbol" w:hint="default"/>
      </w:rPr>
    </w:lvl>
    <w:lvl w:ilvl="1" w:tplc="8876C28E">
      <w:start w:val="1"/>
      <w:numFmt w:val="bullet"/>
      <w:lvlText w:val="o"/>
      <w:lvlJc w:val="left"/>
      <w:pPr>
        <w:ind w:left="1440" w:hanging="360"/>
      </w:pPr>
      <w:rPr>
        <w:rFonts w:ascii="Courier New" w:hAnsi="Courier New" w:hint="default"/>
      </w:rPr>
    </w:lvl>
    <w:lvl w:ilvl="2" w:tplc="4E463660">
      <w:start w:val="1"/>
      <w:numFmt w:val="bullet"/>
      <w:lvlText w:val=""/>
      <w:lvlJc w:val="left"/>
      <w:pPr>
        <w:ind w:left="2160" w:hanging="360"/>
      </w:pPr>
      <w:rPr>
        <w:rFonts w:ascii="Wingdings" w:hAnsi="Wingdings" w:hint="default"/>
      </w:rPr>
    </w:lvl>
    <w:lvl w:ilvl="3" w:tplc="5582AC3E">
      <w:start w:val="1"/>
      <w:numFmt w:val="bullet"/>
      <w:lvlText w:val=""/>
      <w:lvlJc w:val="left"/>
      <w:pPr>
        <w:ind w:left="2880" w:hanging="360"/>
      </w:pPr>
      <w:rPr>
        <w:rFonts w:ascii="Symbol" w:hAnsi="Symbol" w:hint="default"/>
      </w:rPr>
    </w:lvl>
    <w:lvl w:ilvl="4" w:tplc="769CCA7A">
      <w:start w:val="1"/>
      <w:numFmt w:val="bullet"/>
      <w:lvlText w:val="o"/>
      <w:lvlJc w:val="left"/>
      <w:pPr>
        <w:ind w:left="3600" w:hanging="360"/>
      </w:pPr>
      <w:rPr>
        <w:rFonts w:ascii="Courier New" w:hAnsi="Courier New" w:hint="default"/>
      </w:rPr>
    </w:lvl>
    <w:lvl w:ilvl="5" w:tplc="5308DC06">
      <w:start w:val="1"/>
      <w:numFmt w:val="bullet"/>
      <w:lvlText w:val=""/>
      <w:lvlJc w:val="left"/>
      <w:pPr>
        <w:ind w:left="4320" w:hanging="360"/>
      </w:pPr>
      <w:rPr>
        <w:rFonts w:ascii="Wingdings" w:hAnsi="Wingdings" w:hint="default"/>
      </w:rPr>
    </w:lvl>
    <w:lvl w:ilvl="6" w:tplc="927AF73E">
      <w:start w:val="1"/>
      <w:numFmt w:val="bullet"/>
      <w:lvlText w:val=""/>
      <w:lvlJc w:val="left"/>
      <w:pPr>
        <w:ind w:left="5040" w:hanging="360"/>
      </w:pPr>
      <w:rPr>
        <w:rFonts w:ascii="Symbol" w:hAnsi="Symbol" w:hint="default"/>
      </w:rPr>
    </w:lvl>
    <w:lvl w:ilvl="7" w:tplc="877E7C10">
      <w:start w:val="1"/>
      <w:numFmt w:val="bullet"/>
      <w:lvlText w:val="o"/>
      <w:lvlJc w:val="left"/>
      <w:pPr>
        <w:ind w:left="5760" w:hanging="360"/>
      </w:pPr>
      <w:rPr>
        <w:rFonts w:ascii="Courier New" w:hAnsi="Courier New" w:hint="default"/>
      </w:rPr>
    </w:lvl>
    <w:lvl w:ilvl="8" w:tplc="D54A2AFE">
      <w:start w:val="1"/>
      <w:numFmt w:val="bullet"/>
      <w:lvlText w:val=""/>
      <w:lvlJc w:val="left"/>
      <w:pPr>
        <w:ind w:left="6480" w:hanging="360"/>
      </w:pPr>
      <w:rPr>
        <w:rFonts w:ascii="Wingdings" w:hAnsi="Wingdings" w:hint="default"/>
      </w:rPr>
    </w:lvl>
  </w:abstractNum>
  <w:abstractNum w:abstractNumId="5" w15:restartNumberingAfterBreak="0">
    <w:nsid w:val="504B7589"/>
    <w:multiLevelType w:val="hybridMultilevel"/>
    <w:tmpl w:val="BDCCECD0"/>
    <w:lvl w:ilvl="0" w:tplc="8738E03C">
      <w:start w:val="1"/>
      <w:numFmt w:val="bullet"/>
      <w:lvlText w:val=""/>
      <w:lvlJc w:val="left"/>
      <w:pPr>
        <w:ind w:left="720" w:hanging="360"/>
      </w:pPr>
      <w:rPr>
        <w:rFonts w:ascii="Symbol" w:hAnsi="Symbol" w:hint="default"/>
      </w:rPr>
    </w:lvl>
    <w:lvl w:ilvl="1" w:tplc="0672C030">
      <w:start w:val="1"/>
      <w:numFmt w:val="bullet"/>
      <w:lvlText w:val="o"/>
      <w:lvlJc w:val="left"/>
      <w:pPr>
        <w:ind w:left="1440" w:hanging="360"/>
      </w:pPr>
      <w:rPr>
        <w:rFonts w:ascii="Courier New" w:hAnsi="Courier New" w:hint="default"/>
      </w:rPr>
    </w:lvl>
    <w:lvl w:ilvl="2" w:tplc="7C5419F8">
      <w:start w:val="1"/>
      <w:numFmt w:val="bullet"/>
      <w:lvlText w:val=""/>
      <w:lvlJc w:val="left"/>
      <w:pPr>
        <w:ind w:left="2160" w:hanging="360"/>
      </w:pPr>
      <w:rPr>
        <w:rFonts w:ascii="Wingdings" w:hAnsi="Wingdings" w:hint="default"/>
      </w:rPr>
    </w:lvl>
    <w:lvl w:ilvl="3" w:tplc="7F323BEA">
      <w:start w:val="1"/>
      <w:numFmt w:val="bullet"/>
      <w:lvlText w:val=""/>
      <w:lvlJc w:val="left"/>
      <w:pPr>
        <w:ind w:left="2880" w:hanging="360"/>
      </w:pPr>
      <w:rPr>
        <w:rFonts w:ascii="Symbol" w:hAnsi="Symbol" w:hint="default"/>
      </w:rPr>
    </w:lvl>
    <w:lvl w:ilvl="4" w:tplc="088E8342">
      <w:start w:val="1"/>
      <w:numFmt w:val="bullet"/>
      <w:lvlText w:val="o"/>
      <w:lvlJc w:val="left"/>
      <w:pPr>
        <w:ind w:left="3600" w:hanging="360"/>
      </w:pPr>
      <w:rPr>
        <w:rFonts w:ascii="Courier New" w:hAnsi="Courier New" w:hint="default"/>
      </w:rPr>
    </w:lvl>
    <w:lvl w:ilvl="5" w:tplc="126E8188">
      <w:start w:val="1"/>
      <w:numFmt w:val="bullet"/>
      <w:lvlText w:val=""/>
      <w:lvlJc w:val="left"/>
      <w:pPr>
        <w:ind w:left="4320" w:hanging="360"/>
      </w:pPr>
      <w:rPr>
        <w:rFonts w:ascii="Wingdings" w:hAnsi="Wingdings" w:hint="default"/>
      </w:rPr>
    </w:lvl>
    <w:lvl w:ilvl="6" w:tplc="BB44D036">
      <w:start w:val="1"/>
      <w:numFmt w:val="bullet"/>
      <w:lvlText w:val=""/>
      <w:lvlJc w:val="left"/>
      <w:pPr>
        <w:ind w:left="5040" w:hanging="360"/>
      </w:pPr>
      <w:rPr>
        <w:rFonts w:ascii="Symbol" w:hAnsi="Symbol" w:hint="default"/>
      </w:rPr>
    </w:lvl>
    <w:lvl w:ilvl="7" w:tplc="657A58CA">
      <w:start w:val="1"/>
      <w:numFmt w:val="bullet"/>
      <w:lvlText w:val="o"/>
      <w:lvlJc w:val="left"/>
      <w:pPr>
        <w:ind w:left="5760" w:hanging="360"/>
      </w:pPr>
      <w:rPr>
        <w:rFonts w:ascii="Courier New" w:hAnsi="Courier New" w:hint="default"/>
      </w:rPr>
    </w:lvl>
    <w:lvl w:ilvl="8" w:tplc="C4EC288C">
      <w:start w:val="1"/>
      <w:numFmt w:val="bullet"/>
      <w:lvlText w:val=""/>
      <w:lvlJc w:val="left"/>
      <w:pPr>
        <w:ind w:left="6480" w:hanging="360"/>
      </w:pPr>
      <w:rPr>
        <w:rFonts w:ascii="Wingdings" w:hAnsi="Wingdings" w:hint="default"/>
      </w:rPr>
    </w:lvl>
  </w:abstractNum>
  <w:abstractNum w:abstractNumId="6" w15:restartNumberingAfterBreak="0">
    <w:nsid w:val="7CFED8FD"/>
    <w:multiLevelType w:val="hybridMultilevel"/>
    <w:tmpl w:val="C930CCB8"/>
    <w:lvl w:ilvl="0" w:tplc="2F229858">
      <w:start w:val="1"/>
      <w:numFmt w:val="bullet"/>
      <w:lvlText w:val=""/>
      <w:lvlJc w:val="left"/>
      <w:pPr>
        <w:ind w:left="720" w:hanging="360"/>
      </w:pPr>
      <w:rPr>
        <w:rFonts w:ascii="Symbol" w:hAnsi="Symbol" w:hint="default"/>
      </w:rPr>
    </w:lvl>
    <w:lvl w:ilvl="1" w:tplc="0D6C45D4">
      <w:start w:val="1"/>
      <w:numFmt w:val="bullet"/>
      <w:lvlText w:val="o"/>
      <w:lvlJc w:val="left"/>
      <w:pPr>
        <w:ind w:left="1440" w:hanging="360"/>
      </w:pPr>
      <w:rPr>
        <w:rFonts w:ascii="Courier New" w:hAnsi="Courier New" w:hint="default"/>
      </w:rPr>
    </w:lvl>
    <w:lvl w:ilvl="2" w:tplc="57EC7BA4">
      <w:start w:val="1"/>
      <w:numFmt w:val="bullet"/>
      <w:lvlText w:val=""/>
      <w:lvlJc w:val="left"/>
      <w:pPr>
        <w:ind w:left="2160" w:hanging="360"/>
      </w:pPr>
      <w:rPr>
        <w:rFonts w:ascii="Wingdings" w:hAnsi="Wingdings" w:hint="default"/>
      </w:rPr>
    </w:lvl>
    <w:lvl w:ilvl="3" w:tplc="D3027BFA">
      <w:start w:val="1"/>
      <w:numFmt w:val="bullet"/>
      <w:lvlText w:val=""/>
      <w:lvlJc w:val="left"/>
      <w:pPr>
        <w:ind w:left="2880" w:hanging="360"/>
      </w:pPr>
      <w:rPr>
        <w:rFonts w:ascii="Symbol" w:hAnsi="Symbol" w:hint="default"/>
      </w:rPr>
    </w:lvl>
    <w:lvl w:ilvl="4" w:tplc="B69879DC">
      <w:start w:val="1"/>
      <w:numFmt w:val="bullet"/>
      <w:lvlText w:val="o"/>
      <w:lvlJc w:val="left"/>
      <w:pPr>
        <w:ind w:left="3600" w:hanging="360"/>
      </w:pPr>
      <w:rPr>
        <w:rFonts w:ascii="Courier New" w:hAnsi="Courier New" w:hint="default"/>
      </w:rPr>
    </w:lvl>
    <w:lvl w:ilvl="5" w:tplc="5974098E">
      <w:start w:val="1"/>
      <w:numFmt w:val="bullet"/>
      <w:lvlText w:val=""/>
      <w:lvlJc w:val="left"/>
      <w:pPr>
        <w:ind w:left="4320" w:hanging="360"/>
      </w:pPr>
      <w:rPr>
        <w:rFonts w:ascii="Wingdings" w:hAnsi="Wingdings" w:hint="default"/>
      </w:rPr>
    </w:lvl>
    <w:lvl w:ilvl="6" w:tplc="0340F01E">
      <w:start w:val="1"/>
      <w:numFmt w:val="bullet"/>
      <w:lvlText w:val=""/>
      <w:lvlJc w:val="left"/>
      <w:pPr>
        <w:ind w:left="5040" w:hanging="360"/>
      </w:pPr>
      <w:rPr>
        <w:rFonts w:ascii="Symbol" w:hAnsi="Symbol" w:hint="default"/>
      </w:rPr>
    </w:lvl>
    <w:lvl w:ilvl="7" w:tplc="4C664FEC">
      <w:start w:val="1"/>
      <w:numFmt w:val="bullet"/>
      <w:lvlText w:val="o"/>
      <w:lvlJc w:val="left"/>
      <w:pPr>
        <w:ind w:left="5760" w:hanging="360"/>
      </w:pPr>
      <w:rPr>
        <w:rFonts w:ascii="Courier New" w:hAnsi="Courier New" w:hint="default"/>
      </w:rPr>
    </w:lvl>
    <w:lvl w:ilvl="8" w:tplc="AA66A11A">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0"/>
  </w:num>
  <w:num w:numId="4">
    <w:abstractNumId w:val="1"/>
  </w:num>
  <w:num w:numId="5">
    <w:abstractNumId w:val="2"/>
  </w:num>
  <w:num w:numId="6">
    <w:abstractNumId w:val="3"/>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readOnly" w:enforcement="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94BBB1B"/>
    <w:rsid w:val="001F3BA1"/>
    <w:rsid w:val="004974DB"/>
    <w:rsid w:val="00896FF4"/>
    <w:rsid w:val="00F308E7"/>
    <w:rsid w:val="02331857"/>
    <w:rsid w:val="0258284F"/>
    <w:rsid w:val="02AAC090"/>
    <w:rsid w:val="0322EA58"/>
    <w:rsid w:val="034369AD"/>
    <w:rsid w:val="03D1F14C"/>
    <w:rsid w:val="0518B797"/>
    <w:rsid w:val="05A24377"/>
    <w:rsid w:val="05F94A18"/>
    <w:rsid w:val="063C5A80"/>
    <w:rsid w:val="0670AEBA"/>
    <w:rsid w:val="0710E624"/>
    <w:rsid w:val="094BBB1B"/>
    <w:rsid w:val="0A511DAB"/>
    <w:rsid w:val="0A68639B"/>
    <w:rsid w:val="0ACE8598"/>
    <w:rsid w:val="0B0F4EF1"/>
    <w:rsid w:val="0D71082B"/>
    <w:rsid w:val="0DC1C4EA"/>
    <w:rsid w:val="0E7A27F2"/>
    <w:rsid w:val="0F6C8B11"/>
    <w:rsid w:val="0FA19F5E"/>
    <w:rsid w:val="117FC6D9"/>
    <w:rsid w:val="12939C47"/>
    <w:rsid w:val="12D34A42"/>
    <w:rsid w:val="135A1761"/>
    <w:rsid w:val="139FE876"/>
    <w:rsid w:val="1412B0E6"/>
    <w:rsid w:val="14EEC802"/>
    <w:rsid w:val="151F116D"/>
    <w:rsid w:val="1527949A"/>
    <w:rsid w:val="15AFF5B0"/>
    <w:rsid w:val="15D63EF9"/>
    <w:rsid w:val="17D06A8B"/>
    <w:rsid w:val="17DDAE5B"/>
    <w:rsid w:val="1843566E"/>
    <w:rsid w:val="18DB6912"/>
    <w:rsid w:val="1B81E477"/>
    <w:rsid w:val="1B8A04D7"/>
    <w:rsid w:val="1BD4AA2D"/>
    <w:rsid w:val="1BDBE0ED"/>
    <w:rsid w:val="1C07DA55"/>
    <w:rsid w:val="1D5D3741"/>
    <w:rsid w:val="1DA29D15"/>
    <w:rsid w:val="1F15FB09"/>
    <w:rsid w:val="1F234CB8"/>
    <w:rsid w:val="1F7FC5AA"/>
    <w:rsid w:val="1F805A6E"/>
    <w:rsid w:val="203AC756"/>
    <w:rsid w:val="208077AF"/>
    <w:rsid w:val="21A9C812"/>
    <w:rsid w:val="22339CAC"/>
    <w:rsid w:val="2252D95A"/>
    <w:rsid w:val="238C803A"/>
    <w:rsid w:val="23E7C3C6"/>
    <w:rsid w:val="2439DB0A"/>
    <w:rsid w:val="2501B702"/>
    <w:rsid w:val="25204998"/>
    <w:rsid w:val="2553E452"/>
    <w:rsid w:val="25A4789E"/>
    <w:rsid w:val="268B64D8"/>
    <w:rsid w:val="29725E1D"/>
    <w:rsid w:val="29BD9424"/>
    <w:rsid w:val="29F480CC"/>
    <w:rsid w:val="2BE09139"/>
    <w:rsid w:val="2C1B284F"/>
    <w:rsid w:val="2D635D28"/>
    <w:rsid w:val="2DBEFC3E"/>
    <w:rsid w:val="2DD45BA2"/>
    <w:rsid w:val="30D66453"/>
    <w:rsid w:val="32E34A64"/>
    <w:rsid w:val="333230B7"/>
    <w:rsid w:val="336D0CCB"/>
    <w:rsid w:val="337B8703"/>
    <w:rsid w:val="34F508C4"/>
    <w:rsid w:val="35A7D7F1"/>
    <w:rsid w:val="363F1ACC"/>
    <w:rsid w:val="36AFE48B"/>
    <w:rsid w:val="370E6282"/>
    <w:rsid w:val="37D8E560"/>
    <w:rsid w:val="393A3AFC"/>
    <w:rsid w:val="39440869"/>
    <w:rsid w:val="39E733D7"/>
    <w:rsid w:val="3A8857FA"/>
    <w:rsid w:val="3A8F77CE"/>
    <w:rsid w:val="3AC5FE0E"/>
    <w:rsid w:val="3AC68BE2"/>
    <w:rsid w:val="3B1677F2"/>
    <w:rsid w:val="3D61FBFE"/>
    <w:rsid w:val="3E8BA38E"/>
    <w:rsid w:val="4002D2B8"/>
    <w:rsid w:val="402111D1"/>
    <w:rsid w:val="40B4BC2E"/>
    <w:rsid w:val="4115CFAA"/>
    <w:rsid w:val="413BF718"/>
    <w:rsid w:val="42B55511"/>
    <w:rsid w:val="45825C17"/>
    <w:rsid w:val="45D9E467"/>
    <w:rsid w:val="482A6116"/>
    <w:rsid w:val="48577103"/>
    <w:rsid w:val="495C947B"/>
    <w:rsid w:val="498CA603"/>
    <w:rsid w:val="4A5B6E0D"/>
    <w:rsid w:val="4A87CC83"/>
    <w:rsid w:val="4B32DAAB"/>
    <w:rsid w:val="4B70810F"/>
    <w:rsid w:val="4C290D31"/>
    <w:rsid w:val="4C850A2F"/>
    <w:rsid w:val="4D7633C3"/>
    <w:rsid w:val="4DCEFBA7"/>
    <w:rsid w:val="4E5E2645"/>
    <w:rsid w:val="4E73EE8D"/>
    <w:rsid w:val="4F45EA37"/>
    <w:rsid w:val="4F753D06"/>
    <w:rsid w:val="50274543"/>
    <w:rsid w:val="50C44384"/>
    <w:rsid w:val="51BA4BDC"/>
    <w:rsid w:val="51FE2730"/>
    <w:rsid w:val="5274B916"/>
    <w:rsid w:val="53DF1977"/>
    <w:rsid w:val="54306D02"/>
    <w:rsid w:val="557CA749"/>
    <w:rsid w:val="55C48153"/>
    <w:rsid w:val="55D012CB"/>
    <w:rsid w:val="55F2FBDC"/>
    <w:rsid w:val="564327C3"/>
    <w:rsid w:val="564979D0"/>
    <w:rsid w:val="56699AA7"/>
    <w:rsid w:val="585FE91E"/>
    <w:rsid w:val="58929ECF"/>
    <w:rsid w:val="5A056B9E"/>
    <w:rsid w:val="5BDD8627"/>
    <w:rsid w:val="5CE16457"/>
    <w:rsid w:val="5E357EA6"/>
    <w:rsid w:val="5EBD164D"/>
    <w:rsid w:val="5FFFF270"/>
    <w:rsid w:val="614490F5"/>
    <w:rsid w:val="6181ACC3"/>
    <w:rsid w:val="625C00E3"/>
    <w:rsid w:val="631CBAE3"/>
    <w:rsid w:val="63218DFE"/>
    <w:rsid w:val="667C454E"/>
    <w:rsid w:val="66822C18"/>
    <w:rsid w:val="66FD7FC4"/>
    <w:rsid w:val="674E9517"/>
    <w:rsid w:val="68750E32"/>
    <w:rsid w:val="688979B1"/>
    <w:rsid w:val="69E2C3E6"/>
    <w:rsid w:val="6A90D251"/>
    <w:rsid w:val="6ACC76A4"/>
    <w:rsid w:val="6BBC0507"/>
    <w:rsid w:val="6C68E159"/>
    <w:rsid w:val="6CF35BCC"/>
    <w:rsid w:val="6E792226"/>
    <w:rsid w:val="6F2629AD"/>
    <w:rsid w:val="708C6859"/>
    <w:rsid w:val="717D543B"/>
    <w:rsid w:val="7261391C"/>
    <w:rsid w:val="72F27F03"/>
    <w:rsid w:val="74B3E099"/>
    <w:rsid w:val="75628F4F"/>
    <w:rsid w:val="7589C353"/>
    <w:rsid w:val="767DA84B"/>
    <w:rsid w:val="76E0E42C"/>
    <w:rsid w:val="7803BFF0"/>
    <w:rsid w:val="78C797FB"/>
    <w:rsid w:val="7A23F4CD"/>
    <w:rsid w:val="7B65E7D0"/>
    <w:rsid w:val="7BAAE0EC"/>
    <w:rsid w:val="7BCC4D32"/>
    <w:rsid w:val="7DCB35A1"/>
    <w:rsid w:val="7E65183C"/>
    <w:rsid w:val="7F1A49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6672E9"/>
  <w15:chartTrackingRefBased/>
  <w15:docId w15:val="{814BA02B-19A0-435D-9255-91EFB63F73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Pr>
      <w:rFonts w:eastAsiaTheme="majorEastAsia" w:cstheme="majorBidi"/>
      <w:color w:val="0F4761" w:themeColor="accent1" w:themeShade="BF"/>
    </w:rPr>
  </w:style>
  <w:style w:type="character" w:customStyle="1" w:styleId="Heading6Char">
    <w:name w:val="Heading 6 Char"/>
    <w:basedOn w:val="DefaultParagraphFont"/>
    <w:link w:val="Heading6"/>
    <w:uiPriority w:val="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Pr>
      <w:rFonts w:eastAsiaTheme="majorEastAsia" w:cstheme="majorBidi"/>
      <w:color w:val="595959" w:themeColor="text1" w:themeTint="A6"/>
    </w:rPr>
  </w:style>
  <w:style w:type="character" w:customStyle="1" w:styleId="Heading8Char">
    <w:name w:val="Heading 8 Char"/>
    <w:basedOn w:val="DefaultParagraphFont"/>
    <w:link w:val="Heading8"/>
    <w:uiPriority w:val="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Pr>
      <w:rFonts w:eastAsiaTheme="majorEastAsia" w:cstheme="majorBidi"/>
      <w:color w:val="272727" w:themeColor="text1" w:themeTint="D8"/>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customStyle="1" w:styleId="QuoteChar">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customStyle="1" w:styleId="IntenseQuoteChar">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paragraph" w:styleId="ListParagraph">
    <w:name w:val="List Paragraph"/>
    <w:basedOn w:val="Normal"/>
    <w:uiPriority w:val="34"/>
    <w:qFormat/>
    <w:rsid w:val="72F27F03"/>
    <w:pPr>
      <w:ind w:left="720"/>
      <w:contextualSpacing/>
    </w:pPr>
  </w:style>
  <w:style w:type="character" w:styleId="Hyperlink">
    <w:name w:val="Hyperlink"/>
    <w:basedOn w:val="DefaultParagraphFont"/>
    <w:uiPriority w:val="99"/>
    <w:unhideWhenUsed/>
    <w:rsid w:val="72F27F03"/>
    <w:rPr>
      <w:color w:val="467886"/>
      <w:u w:val="single"/>
    </w:rPr>
  </w:style>
  <w:style w:type="paragraph" w:styleId="Header">
    <w:name w:val="header"/>
    <w:basedOn w:val="Normal"/>
    <w:link w:val="HeaderChar"/>
    <w:uiPriority w:val="99"/>
    <w:unhideWhenUsed/>
    <w:rsid w:val="001F3B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F3BA1"/>
  </w:style>
  <w:style w:type="paragraph" w:styleId="Footer">
    <w:name w:val="footer"/>
    <w:basedOn w:val="Normal"/>
    <w:link w:val="FooterChar"/>
    <w:uiPriority w:val="99"/>
    <w:unhideWhenUsed/>
    <w:rsid w:val="001F3B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F3B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customXml" Target="../customXml/item3.xml"/><Relationship Id="rId21" Type="http://schemas.openxmlformats.org/officeDocument/2006/relationships/hyperlink" Target="https://ejscreen.epa.gov/mapper/" TargetMode="Externa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hyperlink" Target="https://screening-tools.com/"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hyperlink" Target="/webres/File/IEC%20EJ%20Map%20Codebook.xls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1873E84A5978E459039B9EB175C53E3" ma:contentTypeVersion="4" ma:contentTypeDescription="Create a new document." ma:contentTypeScope="" ma:versionID="7558b94a154224996e75ea298dacc743">
  <xsd:schema xmlns:xsd="http://www.w3.org/2001/XMLSchema" xmlns:xs="http://www.w3.org/2001/XMLSchema" xmlns:p="http://schemas.microsoft.com/office/2006/metadata/properties" xmlns:ns2="2a3aebb6-00cd-42ed-b4d8-00d52761a423" targetNamespace="http://schemas.microsoft.com/office/2006/metadata/properties" ma:root="true" ma:fieldsID="b61b743c377754c289815ca765a5ef7d" ns2:_="">
    <xsd:import namespace="2a3aebb6-00cd-42ed-b4d8-00d52761a42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3aebb6-00cd-42ed-b4d8-00d52761a4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9393748-ACE5-4CAB-AB7C-F1658ADB62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3aebb6-00cd-42ed-b4d8-00d52761a42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64237DE-8841-4051-BE68-AA5DCF38875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D83FD81-94FB-4849-AC2A-428CFDADE60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7</Pages>
  <Words>791</Words>
  <Characters>4513</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Cody Smith</dc:creator>
  <cp:keywords/>
  <dc:description/>
  <cp:lastModifiedBy>Sarah Howe</cp:lastModifiedBy>
  <cp:revision>4</cp:revision>
  <dcterms:created xsi:type="dcterms:W3CDTF">2025-01-24T21:34:00Z</dcterms:created>
  <dcterms:modified xsi:type="dcterms:W3CDTF">2025-02-07T16:33:00Z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0x01010061873E84A5978E459039B9EB175C53E3</vt:lpwstr>
  </property>
</Properties>
</file>